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hAnsi="宋体" w:eastAsia="长城小标宋体" w:cs="方正大标宋简体"/>
          <w:b/>
          <w:color w:val="FF0000"/>
          <w:kern w:val="0"/>
          <w:sz w:val="68"/>
          <w:szCs w:val="68"/>
        </w:rPr>
      </w:pPr>
    </w:p>
    <w:p>
      <w:pPr>
        <w:autoSpaceDE w:val="0"/>
        <w:autoSpaceDN w:val="0"/>
        <w:adjustRightInd w:val="0"/>
        <w:spacing w:line="410" w:lineRule="atLeast"/>
        <w:rPr>
          <w:rFonts w:ascii="长城小标宋体" w:hAnsi="宋体" w:eastAsia="长城小标宋体" w:cs="方正大标宋简体"/>
          <w:b/>
          <w:color w:val="FF0000"/>
          <w:kern w:val="0"/>
          <w:sz w:val="68"/>
          <w:szCs w:val="68"/>
        </w:rPr>
      </w:pPr>
    </w:p>
    <w:p>
      <w:pPr>
        <w:autoSpaceDE w:val="0"/>
        <w:autoSpaceDN w:val="0"/>
        <w:adjustRightInd w:val="0"/>
        <w:spacing w:line="410" w:lineRule="atLeast"/>
        <w:jc w:val="center"/>
        <w:rPr>
          <w:rFonts w:ascii="长城小标宋体" w:eastAsia="长城小标宋体" w:cs="方正大标宋简体"/>
          <w:kern w:val="0"/>
          <w:sz w:val="68"/>
          <w:szCs w:val="68"/>
        </w:rPr>
      </w:pPr>
      <w:r>
        <w:rPr>
          <w:rFonts w:hint="eastAsia" w:ascii="长城小标宋体" w:hAnsi="宋体" w:eastAsia="长城小标宋体" w:cs="方正大标宋简体"/>
          <w:b/>
          <w:color w:val="FF0000"/>
          <w:kern w:val="0"/>
          <w:sz w:val="68"/>
          <w:szCs w:val="68"/>
        </w:rPr>
        <w:t>南通大学生命科学学院文件</w:t>
      </w:r>
    </w:p>
    <w:p>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pPr>
        <w:spacing w:line="360" w:lineRule="auto"/>
        <w:jc w:val="center"/>
        <w:rPr>
          <w:rFonts w:ascii="仿宋" w:hAnsi="仿宋" w:eastAsia="仿宋" w:cs="仿宋_GB2312"/>
          <w:spacing w:val="-20"/>
          <w:sz w:val="32"/>
          <w:szCs w:val="32"/>
        </w:rPr>
      </w:pPr>
      <w:r>
        <w:rPr>
          <w:rFonts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1017905</wp:posOffset>
                </wp:positionH>
                <wp:positionV relativeFrom="page">
                  <wp:posOffset>3848100</wp:posOffset>
                </wp:positionV>
                <wp:extent cx="5626735" cy="3175"/>
                <wp:effectExtent l="0" t="19050" r="12065" b="34925"/>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626735"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0.15pt;margin-top:303pt;height:0.25pt;width:443.05pt;mso-position-horizontal-relative:page;mso-position-vertical-relative:page;z-index:251659264;mso-width-relative:page;mso-height-relative:page;" filled="f" stroked="t" coordsize="21600,21600" o:gfxdata="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tFL2AAAAAwBAAAPAAAAAAAAAAEAIAAAACIAAABk&#10;cnMvZG93bnJldi54bWxQSwECFAAUAAAACACHTuJAA6WmzAYCAAAQBAAADgAAAAAAAAABACAAAAAn&#10;AQAAZHJzL2Uyb0RvYy54bWxQSwUGAAAAAAYABgBZAQAAnwUAAAAA&#10;">
                <v:fill on="f" focussize="0,0"/>
                <v:stroke weight="2.5pt" color="#FF0000" joinstyle="round"/>
                <v:imagedata o:title=""/>
                <o:lock v:ext="edit" aspectratio="f"/>
                <v:shadow on="t" color="#C0C0C0" offset="0pt,0pt" origin="0f,0f" matrix="65536f,0f,0f,65536f"/>
              </v:line>
            </w:pict>
          </mc:Fallback>
        </mc:AlternateContent>
      </w: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spacing w:val="-20"/>
          <w:sz w:val="32"/>
          <w:szCs w:val="32"/>
          <w:lang w:val="en-US" w:eastAsia="zh-CN"/>
        </w:rPr>
        <w:t>6</w:t>
      </w:r>
      <w:r>
        <w:rPr>
          <w:rFonts w:hint="eastAsia" w:ascii="仿宋" w:hAnsi="仿宋" w:eastAsia="仿宋" w:cs="宋体"/>
          <w:spacing w:val="-20"/>
          <w:sz w:val="32"/>
          <w:szCs w:val="32"/>
        </w:rPr>
        <w:t>号</w:t>
      </w:r>
      <w:r>
        <w:rPr>
          <w:rFonts w:ascii="仿宋" w:hAnsi="仿宋" w:eastAsia="仿宋" w:cs="宋体"/>
          <w:spacing w:val="-20"/>
          <w:sz w:val="32"/>
          <w:szCs w:val="32"/>
        </w:rPr>
        <w:br w:type="textWrapping"/>
      </w:r>
    </w:p>
    <w:p>
      <w:pPr>
        <w:keepNext w:val="0"/>
        <w:keepLines w:val="0"/>
        <w:pageBreakBefore w:val="0"/>
        <w:widowControl w:val="0"/>
        <w:kinsoku/>
        <w:wordWrap/>
        <w:overflowPunct/>
        <w:topLinePunct w:val="0"/>
        <w:autoSpaceDE w:val="0"/>
        <w:autoSpaceDN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关于印发《生命科学学院关于进一步加强学风建设的意见》的通知</w:t>
      </w:r>
    </w:p>
    <w:p>
      <w:pPr>
        <w:rPr>
          <w:rFonts w:hint="eastAsia" w:ascii="仿宋" w:hAnsi="仿宋" w:eastAsia="仿宋" w:cs="仿宋"/>
          <w:sz w:val="30"/>
          <w:szCs w:val="30"/>
        </w:rPr>
      </w:pP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r>
        <w:rPr>
          <w:rFonts w:hint="eastAsia" w:ascii="仿宋_GB2312" w:hAnsi="仿宋" w:eastAsia="仿宋_GB2312" w:cs="仿宋"/>
          <w:sz w:val="32"/>
          <w:szCs w:val="32"/>
          <w:lang w:eastAsia="zh-CN"/>
        </w:rPr>
        <w:t>、各班级</w:t>
      </w:r>
      <w:r>
        <w:rPr>
          <w:rFonts w:hint="eastAsia" w:ascii="仿宋_GB2312" w:hAnsi="仿宋" w:eastAsia="仿宋_GB2312" w:cs="仿宋"/>
          <w:sz w:val="32"/>
          <w:szCs w:val="32"/>
        </w:rPr>
        <w:t>：</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《生命科学学院关于进一步加强学风建设的意见</w:t>
      </w:r>
      <w:r>
        <w:rPr>
          <w:rFonts w:hint="eastAsia" w:ascii="仿宋_GB2312" w:hAnsi="仿宋" w:eastAsia="仿宋_GB2312" w:cs="仿宋"/>
          <w:sz w:val="32"/>
          <w:szCs w:val="32"/>
        </w:rPr>
        <w:t>》已经院党政联席会议讨论通过，现印发给你们，请认真贯彻落实。</w:t>
      </w: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bidi w:val="0"/>
        <w:spacing w:line="600" w:lineRule="exact"/>
        <w:ind w:firstLine="640" w:firstLineChars="200"/>
        <w:textAlignment w:val="auto"/>
        <w:rPr>
          <w:rFonts w:ascii="仿宋" w:hAnsi="仿宋" w:eastAsia="仿宋" w:cs="Tahoma"/>
          <w:color w:val="000000"/>
          <w:kern w:val="0"/>
          <w:sz w:val="32"/>
          <w:szCs w:val="32"/>
        </w:rPr>
      </w:pPr>
      <w:r>
        <w:rPr>
          <w:rFonts w:hint="eastAsia" w:ascii="仿宋_GB2312" w:hAnsi="仿宋" w:eastAsia="仿宋_GB2312" w:cs="仿宋"/>
          <w:sz w:val="32"/>
          <w:szCs w:val="32"/>
        </w:rPr>
        <w:t xml:space="preserve">附件：生命科学学院关于进一步加强学风建设的意见      </w:t>
      </w:r>
      <w:r>
        <w:rPr>
          <w:rFonts w:hint="eastAsia" w:ascii="仿宋" w:hAnsi="仿宋" w:eastAsia="仿宋" w:cs="Tahoma"/>
          <w:color w:val="000000"/>
          <w:kern w:val="0"/>
          <w:sz w:val="32"/>
          <w:szCs w:val="32"/>
        </w:rPr>
        <w:t xml:space="preserve">                </w:t>
      </w:r>
    </w:p>
    <w:p>
      <w:pPr>
        <w:pStyle w:val="14"/>
        <w:shd w:val="clear" w:color="auto" w:fill="auto"/>
        <w:spacing w:after="0"/>
        <w:ind w:firstLine="640" w:firstLineChars="200"/>
        <w:rPr>
          <w:rFonts w:ascii="仿宋" w:hAnsi="仿宋" w:eastAsia="仿宋" w:cs="仿宋"/>
          <w:sz w:val="30"/>
          <w:szCs w:val="30"/>
        </w:rPr>
      </w:pPr>
      <w:r>
        <w:rPr>
          <w:rFonts w:hint="eastAsia" w:ascii="仿宋" w:hAnsi="仿宋" w:eastAsia="仿宋" w:cs="Tahoma"/>
          <w:color w:val="000000"/>
          <w:kern w:val="0"/>
          <w:sz w:val="32"/>
          <w:szCs w:val="32"/>
        </w:rPr>
        <w:t xml:space="preserve">                        </w:t>
      </w:r>
    </w:p>
    <w:p>
      <w:pPr>
        <w:pStyle w:val="14"/>
        <w:shd w:val="clear" w:color="auto" w:fill="auto"/>
        <w:spacing w:after="0"/>
        <w:ind w:firstLine="640" w:firstLineChars="200"/>
        <w:rPr>
          <w:rFonts w:ascii="仿宋" w:hAnsi="仿宋" w:eastAsia="仿宋" w:cs="Tahoma"/>
          <w:color w:val="000000"/>
          <w:kern w:val="0"/>
          <w:sz w:val="32"/>
          <w:szCs w:val="32"/>
        </w:rPr>
      </w:pPr>
      <w:r>
        <w:rPr>
          <w:rFonts w:hint="eastAsia" w:ascii="仿宋" w:hAnsi="仿宋" w:eastAsia="仿宋" w:cs="Tahoma"/>
          <w:color w:val="000000"/>
          <w:kern w:val="0"/>
          <w:sz w:val="32"/>
          <w:szCs w:val="32"/>
        </w:rPr>
        <w:t xml:space="preserve">                   </w:t>
      </w:r>
      <w:r>
        <w:rPr>
          <w:rFonts w:hint="eastAsia" w:ascii="仿宋" w:hAnsi="仿宋" w:eastAsia="仿宋" w:cs="Tahoma"/>
          <w:color w:val="000000"/>
          <w:kern w:val="0"/>
          <w:sz w:val="32"/>
          <w:szCs w:val="32"/>
          <w:lang w:val="en-US" w:eastAsia="zh-CN"/>
        </w:rPr>
        <w:t xml:space="preserve">       </w:t>
      </w:r>
      <w:r>
        <w:rPr>
          <w:rFonts w:hint="eastAsia" w:ascii="仿宋" w:hAnsi="仿宋" w:eastAsia="仿宋" w:cs="Tahoma"/>
          <w:color w:val="000000"/>
          <w:kern w:val="0"/>
          <w:sz w:val="32"/>
          <w:szCs w:val="32"/>
        </w:rPr>
        <w:t>南通大学生命科学学院</w:t>
      </w:r>
    </w:p>
    <w:p>
      <w:pPr>
        <w:pStyle w:val="14"/>
        <w:shd w:val="clear" w:color="auto" w:fill="auto"/>
        <w:spacing w:after="0"/>
        <w:ind w:firstLine="640" w:firstLineChars="200"/>
        <w:rPr>
          <w:rFonts w:ascii="仿宋" w:hAnsi="仿宋" w:eastAsia="仿宋" w:cs="仿宋"/>
          <w:sz w:val="30"/>
          <w:szCs w:val="30"/>
        </w:rPr>
      </w:pPr>
      <w:r>
        <w:rPr>
          <w:rFonts w:hint="eastAsia" w:ascii="仿宋" w:hAnsi="仿宋" w:eastAsia="仿宋" w:cs="Tahoma"/>
          <w:color w:val="000000"/>
          <w:kern w:val="0"/>
          <w:sz w:val="32"/>
          <w:szCs w:val="32"/>
        </w:rPr>
        <w:t xml:space="preserve">                            202</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年</w:t>
      </w:r>
      <w:r>
        <w:rPr>
          <w:rFonts w:hint="eastAsia" w:ascii="仿宋" w:hAnsi="仿宋" w:eastAsia="仿宋" w:cs="Tahoma"/>
          <w:color w:val="000000"/>
          <w:kern w:val="0"/>
          <w:sz w:val="32"/>
          <w:szCs w:val="32"/>
          <w:lang w:val="en-US" w:eastAsia="zh-CN"/>
        </w:rPr>
        <w:t>2</w:t>
      </w:r>
      <w:r>
        <w:rPr>
          <w:rFonts w:hint="eastAsia" w:ascii="仿宋" w:hAnsi="仿宋" w:eastAsia="仿宋" w:cs="Tahoma"/>
          <w:color w:val="000000"/>
          <w:kern w:val="0"/>
          <w:sz w:val="32"/>
          <w:szCs w:val="32"/>
        </w:rPr>
        <w:t>月</w:t>
      </w:r>
      <w:r>
        <w:rPr>
          <w:rFonts w:hint="eastAsia" w:ascii="仿宋" w:hAnsi="仿宋" w:eastAsia="仿宋" w:cs="Tahoma"/>
          <w:color w:val="000000"/>
          <w:kern w:val="0"/>
          <w:sz w:val="32"/>
          <w:szCs w:val="32"/>
          <w:lang w:val="en-US" w:eastAsia="zh-CN"/>
        </w:rPr>
        <w:t>25</w:t>
      </w:r>
      <w:r>
        <w:rPr>
          <w:rFonts w:hint="eastAsia" w:ascii="仿宋" w:hAnsi="仿宋" w:eastAsia="仿宋" w:cs="Tahoma"/>
          <w:color w:val="000000"/>
          <w:kern w:val="0"/>
          <w:sz w:val="32"/>
          <w:szCs w:val="32"/>
        </w:rPr>
        <w:t>日</w:t>
      </w: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学生工作处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日印发</w:t>
      </w:r>
    </w:p>
    <w:p>
      <w:pPr>
        <w:ind w:right="161"/>
        <w:jc w:val="right"/>
        <w:rPr>
          <w:rFonts w:ascii="仿宋" w:hAnsi="仿宋" w:eastAsia="仿宋" w:cs="宋体"/>
          <w:kern w:val="0"/>
          <w:sz w:val="28"/>
          <w:szCs w:val="28"/>
        </w:rPr>
      </w:pP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keepNext w:val="0"/>
        <w:keepLines w:val="0"/>
        <w:pageBreakBefore w:val="0"/>
        <w:widowControl w:val="0"/>
        <w:kinsoku/>
        <w:wordWrap/>
        <w:overflowPunct/>
        <w:topLinePunct w:val="0"/>
        <w:bidi w:val="0"/>
        <w:spacing w:line="600" w:lineRule="exact"/>
        <w:textAlignment w:val="auto"/>
        <w:rPr>
          <w:rFonts w:hint="eastAsia" w:cs="Times New Roman" w:asciiTheme="majorEastAsia" w:hAnsiTheme="majorEastAsia" w:eastAsiaTheme="majorEastAsia"/>
          <w:bCs/>
          <w:color w:val="000000"/>
          <w:kern w:val="0"/>
          <w:sz w:val="36"/>
          <w:szCs w:val="36"/>
        </w:rPr>
      </w:pPr>
      <w:r>
        <w:rPr>
          <w:rFonts w:hint="eastAsia" w:ascii="黑体" w:hAnsi="黑体" w:eastAsia="黑体" w:cs="黑体"/>
          <w:sz w:val="32"/>
        </w:rPr>
        <w:t>附件：</w:t>
      </w:r>
    </w:p>
    <w:p>
      <w:pPr>
        <w:autoSpaceDE w:val="0"/>
        <w:autoSpaceDN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w:t>
      </w:r>
    </w:p>
    <w:p>
      <w:pPr>
        <w:autoSpaceDE w:val="0"/>
        <w:autoSpaceDN w:val="0"/>
        <w:spacing w:line="700" w:lineRule="exact"/>
        <w:jc w:val="center"/>
        <w:rPr>
          <w:rFonts w:cs="Times New Roman" w:asciiTheme="majorEastAsia" w:hAnsiTheme="majorEastAsia" w:eastAsiaTheme="majorEastAsia"/>
          <w:bCs/>
          <w:color w:val="000000"/>
          <w:kern w:val="0"/>
          <w:sz w:val="36"/>
          <w:szCs w:val="36"/>
        </w:rPr>
      </w:pPr>
      <w:r>
        <w:rPr>
          <w:rFonts w:hint="eastAsia" w:ascii="方正小标宋简体" w:hAnsi="方正小标宋简体" w:eastAsia="方正小标宋简体" w:cs="方正小标宋简体"/>
          <w:sz w:val="44"/>
          <w:szCs w:val="44"/>
        </w:rPr>
        <w:t>关于进一步加强学风建设的意见</w:t>
      </w:r>
    </w:p>
    <w:p>
      <w:pPr>
        <w:ind w:firstLine="640"/>
        <w:rPr>
          <w:rFonts w:hint="eastAsia" w:ascii="仿宋" w:hAnsi="仿宋"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学风建设不仅是对党的教育方针的有力践行，更是对学校综合发展和学生全面素质培养的迫切回应。为了扎实推进我院学风建设，营造学习风气优良、学术环境浓厚的育人环境，优化巩固立体化、精细化、全程化的学风育人体系。现结合我院实际，提出如下意见。</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黑体"/>
          <w:sz w:val="32"/>
          <w:szCs w:val="32"/>
        </w:rPr>
      </w:pPr>
      <w:r>
        <w:rPr>
          <w:rFonts w:hint="eastAsia" w:ascii="仿宋" w:hAnsi="仿宋" w:eastAsia="仿宋"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在习近平新时代中国特色社会主义思想指引下，全面贯彻党的教育方针和校第四次党代会精神指示，以立德树人为核心，以学风建设为抓手，紧扣“</w:t>
      </w:r>
      <w:r>
        <w:rPr>
          <w:rFonts w:ascii="仿宋" w:hAnsi="仿宋" w:eastAsia="仿宋" w:cs="Times New Roman"/>
          <w:sz w:val="32"/>
          <w:szCs w:val="32"/>
        </w:rPr>
        <w:t>祈</w:t>
      </w:r>
      <w:r>
        <w:rPr>
          <w:rFonts w:hint="eastAsia" w:ascii="仿宋" w:hAnsi="仿宋" w:eastAsia="仿宋" w:cs="Times New Roman"/>
          <w:sz w:val="32"/>
          <w:szCs w:val="32"/>
        </w:rPr>
        <w:t>通中西、力求精进”的百年校训，培养政治坚定、学风端正、独具特色、德智体美劳全面发展的社会主义建设者和接班人。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黑体"/>
          <w:sz w:val="32"/>
          <w:szCs w:val="32"/>
        </w:rPr>
      </w:pPr>
      <w:r>
        <w:rPr>
          <w:rFonts w:hint="eastAsia" w:ascii="仿宋" w:hAnsi="仿宋" w:eastAsia="仿宋" w:cs="黑体"/>
          <w:sz w:val="32"/>
          <w:szCs w:val="32"/>
        </w:rPr>
        <w:t>二、总体目标</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切实加强学风建设，持续深化并全面推进学术氛围的构建。遵循“主题教育兴学风、典型示范树学风、特色活动促学风、竞赛拓展激学风、考研引领强学风”的学风建设工作思路，探索系统化培育优良学风的创新路径。通过开展多维度学风建设活动，在协同互动的双向交互中，形成学风建设合力，为塑造高素质人才注入源源不断的动力，保证培养德智体美劳全面发展的社会主义建设者和接班人目标的顺利实现。</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黑体"/>
          <w:sz w:val="32"/>
          <w:szCs w:val="32"/>
        </w:rPr>
      </w:pPr>
      <w:r>
        <w:rPr>
          <w:rFonts w:hint="eastAsia" w:ascii="仿宋" w:hAnsi="仿宋" w:eastAsia="仿宋" w:cs="黑体"/>
          <w:sz w:val="32"/>
          <w:szCs w:val="32"/>
        </w:rPr>
        <w:t>三、工作机制</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w:t>
      </w:r>
      <w:r>
        <w:rPr>
          <w:rFonts w:hint="eastAsia" w:ascii="仿宋" w:hAnsi="仿宋" w:eastAsia="仿宋" w:cs="Times New Roman"/>
          <w:sz w:val="32"/>
          <w:szCs w:val="32"/>
        </w:rPr>
        <w:t>深刻认识学风建设对促进高校高质量发展的重要作用，将学风建设贯穿到学院工作的全过程、各领域、各环节，增强责任觉悟，强调主动担当，做到实务落实。</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w:t>
      </w:r>
      <w:r>
        <w:rPr>
          <w:rFonts w:hint="eastAsia" w:ascii="仿宋" w:hAnsi="仿宋" w:eastAsia="仿宋" w:cs="Times New Roman"/>
          <w:sz w:val="32"/>
          <w:szCs w:val="32"/>
        </w:rPr>
        <w:t>建立和完善学风建设工作考核评估机制，如考勤制度、晚自习管理制度、学生综合测评实施细则、学生评先评优实施细则、学院全方位一体化考研提升工程方案等。细化考核标准，营造风清气正、积极进取的学习氛围，保证良好学习秩序的实现。</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设立学风建设领导小组。辅导员、班主任等主体责任人严格履行“五个一”、“六个一”工作制度，通过组织召开年级（专业）大会，积极参与教学现场，深入学生宿舍，开展谈心交流等做到学风建设工作全面覆盖，以网格化监督与管理确保各方面工作的有效实施。</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sz w:val="32"/>
          <w:szCs w:val="32"/>
        </w:rPr>
        <w:t>积极动员和引导学院师生员工参与学风建设工作，激发广大</w:t>
      </w:r>
      <w:r>
        <w:rPr>
          <w:rFonts w:ascii="仿宋" w:hAnsi="仿宋" w:eastAsia="仿宋" w:cs="Times New Roman"/>
          <w:sz w:val="32"/>
          <w:szCs w:val="32"/>
        </w:rPr>
        <w:t>师生</w:t>
      </w:r>
      <w:r>
        <w:rPr>
          <w:rFonts w:hint="eastAsia" w:ascii="仿宋" w:hAnsi="仿宋" w:eastAsia="仿宋" w:cs="Times New Roman"/>
          <w:sz w:val="32"/>
          <w:szCs w:val="32"/>
        </w:rPr>
        <w:t>的内在热情，为营造良好学术氛围汇聚多方力量，加快建设学习型校园。</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黑体"/>
          <w:sz w:val="32"/>
          <w:szCs w:val="32"/>
        </w:rPr>
      </w:pPr>
      <w:r>
        <w:rPr>
          <w:rFonts w:hint="eastAsia" w:ascii="仿宋" w:hAnsi="仿宋" w:eastAsia="仿宋" w:cs="黑体"/>
          <w:sz w:val="32"/>
          <w:szCs w:val="32"/>
        </w:rPr>
        <w:t>四、主要内容</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学生是学风建设的主体，也是学风建设的直接受益者，学风建设的内容包括学生的学习态度、学习目的、学习风气和精神面貌等。</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w:t>
      </w:r>
      <w:r>
        <w:rPr>
          <w:rFonts w:hint="eastAsia" w:ascii="仿宋" w:hAnsi="仿宋" w:eastAsia="仿宋" w:cs="Times New Roman"/>
          <w:sz w:val="32"/>
          <w:szCs w:val="32"/>
        </w:rPr>
        <w:t>对学生个体的要求：学生是学风建设的主体，学生在学习过程中要充分发挥主观能动性，端正学习态度，明确学习目标，掌握学习规律，提高学习效果，完成学习任务；树立热爱学习、全面学习终身学习的观念；求真求实，勤于思考，积极实践，勇于创新，在实践中拓展素质、提高能力。</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w:t>
      </w:r>
      <w:r>
        <w:rPr>
          <w:rFonts w:hint="eastAsia" w:ascii="仿宋" w:hAnsi="仿宋" w:eastAsia="仿宋" w:cs="Times New Roman"/>
          <w:sz w:val="32"/>
          <w:szCs w:val="32"/>
        </w:rPr>
        <w:t>对学生集体的要求：学生集体是指学生宿舍、学生班圾、 学生社团、学生党团支部、学生科研实验组，是学生学习、 生活的小环境。学风建设对学生集体的基本要求是：诚实守信，互相帮助，见贤思齐，共同提高；积极参加学术性活动，在各项学习竞赛科研活动中成绩好、进步快、获奖面广；集体中的学生干部素质好、有感召力、在学习、生活上起模范带头作用；违纪现象少；涌现一批先进集体和先进个人。</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黑体"/>
          <w:sz w:val="32"/>
          <w:szCs w:val="32"/>
        </w:rPr>
      </w:pPr>
      <w:r>
        <w:rPr>
          <w:rFonts w:hint="eastAsia" w:ascii="仿宋" w:hAnsi="仿宋" w:eastAsia="仿宋" w:cs="黑体"/>
          <w:sz w:val="32"/>
          <w:szCs w:val="32"/>
        </w:rPr>
        <w:t>五、学风建设的总体要求</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1、在学生中大力弘扬“</w:t>
      </w:r>
      <w:r>
        <w:rPr>
          <w:rFonts w:ascii="仿宋" w:hAnsi="仿宋" w:eastAsia="仿宋" w:cs="Times New Roman"/>
          <w:sz w:val="32"/>
          <w:szCs w:val="32"/>
        </w:rPr>
        <w:t>祈</w:t>
      </w:r>
      <w:r>
        <w:rPr>
          <w:rFonts w:hint="eastAsia" w:ascii="仿宋" w:hAnsi="仿宋" w:eastAsia="仿宋" w:cs="Times New Roman"/>
          <w:sz w:val="32"/>
          <w:szCs w:val="32"/>
        </w:rPr>
        <w:t>通中西、力求精进”的校训精神，倡导在第一课堂和第二课堂形成师生互动、教学相长，学生自觉、自律、自主意识充分发挥的良好局面。</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2. 教育和引导全体学生把主要精力投入到学习成才上来，树立起乐于学习、勤于学习、善于学习、终身学习的观念。努力把学生班集体及宿舍建设成为学习型组织。</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3、学生应努力适应大学的学习特点，掌握正确的学习方法，尤其注重加强自学能力的培养和行为自制力的提高，合理支配课余时间，努力提高学习效率，及时消化巩固所学知识。</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4、学生应加深对社会就业形势的认识，加强对专业前景的理解和对专业兴趣的培养，确立自身的发展方向，不断明确学习目标，增强学习的内动力。</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5.学生要养成良好的学习习惯，上课不迟到、不早退，更不得无故旷课，不在课堂上吃任何零食，课堂上不说话，不做与课堂学习无关以及影响正常教学秩序的事情，严格请假审批制度。</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6.学生应正确理解考试是检验学习效果的手段，而不是学习目标，在考试中要严格遵守考试纪律，杜绝一切作弊行为，作到公平竞争，力争取得好成绩。</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7.建立和健全学风监督评估体系，建立学风建设责任制和目标管理机制，提高学风建设的针对性和有效性，努力形成学风建设的长效机制。</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黑体"/>
          <w:sz w:val="32"/>
          <w:szCs w:val="32"/>
        </w:rPr>
      </w:pPr>
      <w:r>
        <w:rPr>
          <w:rFonts w:hint="eastAsia" w:ascii="仿宋" w:hAnsi="仿宋" w:eastAsia="仿宋" w:cs="黑体"/>
          <w:sz w:val="32"/>
          <w:szCs w:val="32"/>
        </w:rPr>
        <w:t>六、加强学风建设的主要措施</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坚持育人为本，以“勤学笃思、开拓创新”为主题，多措并举打造优良学风，激励学生成长成才。</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着力培养全球视野，加强国际学习项目与学术交流。</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大力宣传澳大利亚昆士兰大学寒假课程项目、春季赴彰化师大等国际交换生项目、研学项目；举办国际留学生交流会，促进国内国外双向互动，拓宽学生国际视野；结合职业生涯探索心理讲座、专项职业生涯规划指导，培养学生将“面向世界，面向未来”的成长理念内化于心、外化于行，实现生涯教育与学风建设的有效互动，在兼容共性与个性的过程中，发挥内力与外力的协调作用。</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强化榜样力量影响，汇聚典型模范力量。</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积极挖掘在学风建设中涌现出的先进典型，</w:t>
      </w:r>
      <w:r>
        <w:rPr>
          <w:rFonts w:ascii="仿宋" w:hAnsi="仿宋" w:eastAsia="仿宋" w:cs="Times New Roman"/>
          <w:sz w:val="32"/>
          <w:szCs w:val="32"/>
        </w:rPr>
        <w:t>发挥</w:t>
      </w:r>
      <w:r>
        <w:rPr>
          <w:rFonts w:hint="eastAsia" w:ascii="仿宋" w:hAnsi="仿宋" w:eastAsia="仿宋" w:cs="Times New Roman"/>
          <w:sz w:val="32"/>
          <w:szCs w:val="32"/>
        </w:rPr>
        <w:t>先锋榜样力量。收集制作考研优秀学生名片墙、学生党员名片墙、</w:t>
      </w:r>
      <w:r>
        <w:rPr>
          <w:rFonts w:ascii="仿宋" w:hAnsi="仿宋" w:eastAsia="仿宋" w:cs="Times New Roman"/>
          <w:sz w:val="32"/>
          <w:szCs w:val="32"/>
        </w:rPr>
        <w:t>“</w:t>
      </w:r>
      <w:r>
        <w:rPr>
          <w:rFonts w:hint="eastAsia" w:ascii="仿宋" w:hAnsi="仿宋" w:eastAsia="仿宋" w:cs="Times New Roman"/>
          <w:sz w:val="32"/>
          <w:szCs w:val="32"/>
        </w:rPr>
        <w:t>瑞华杯</w:t>
      </w:r>
      <w:r>
        <w:rPr>
          <w:rFonts w:ascii="仿宋" w:hAnsi="仿宋" w:eastAsia="仿宋" w:cs="Times New Roman"/>
          <w:sz w:val="32"/>
          <w:szCs w:val="32"/>
        </w:rPr>
        <w:t>”</w:t>
      </w:r>
      <w:r>
        <w:rPr>
          <w:rFonts w:hint="eastAsia" w:ascii="仿宋" w:hAnsi="仿宋" w:eastAsia="仿宋" w:cs="Times New Roman"/>
          <w:sz w:val="32"/>
          <w:szCs w:val="32"/>
        </w:rPr>
        <w:t>大学生年度人物海报等</w:t>
      </w:r>
      <w:r>
        <w:rPr>
          <w:rFonts w:ascii="仿宋" w:hAnsi="仿宋" w:eastAsia="仿宋" w:cs="Times New Roman"/>
          <w:sz w:val="32"/>
          <w:szCs w:val="32"/>
        </w:rPr>
        <w:t>，</w:t>
      </w:r>
      <w:r>
        <w:rPr>
          <w:rFonts w:hint="eastAsia" w:ascii="仿宋" w:hAnsi="仿宋" w:eastAsia="仿宋" w:cs="Times New Roman"/>
          <w:sz w:val="32"/>
          <w:szCs w:val="32"/>
        </w:rPr>
        <w:t>对优秀学生进行展示、宣传，并大力宣传各年级优秀学生的先进事迹，发挥榜样的激励引导作用；做好“国家奖学金”、“国家励志奖学金”评审等表彰评优工作，切实发挥各级各类表彰奖励制度的育人导向功能，营造“学习优秀、追赶优秀”的浓厚学习氛围。</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建立朋辈辅导机制，</w:t>
      </w:r>
      <w:r>
        <w:rPr>
          <w:rFonts w:ascii="仿宋" w:hAnsi="仿宋" w:eastAsia="仿宋" w:cs="Times New Roman"/>
          <w:sz w:val="32"/>
          <w:szCs w:val="32"/>
        </w:rPr>
        <w:t>扩展</w:t>
      </w:r>
      <w:r>
        <w:rPr>
          <w:rFonts w:hint="eastAsia" w:ascii="仿宋" w:hAnsi="仿宋" w:eastAsia="仿宋" w:cs="Times New Roman"/>
          <w:sz w:val="32"/>
          <w:szCs w:val="32"/>
        </w:rPr>
        <w:t>学业帮扶深度。</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针对大学物理、无机化学、有机化学、生物化学等学生较薄弱的课程，充分发挥学习委员干部作用，延展课堂学习时间，进一步搭建学生与老师的沟通桥梁，利用课余时间开展常态化专项答疑活动；建立学习互助小组，以先进带后进，形成学法指导合力作用；充分利用线上数字化学习资源，定期推送优质学习视频，多措并举建立完整帮扶机制，帮助学生克服课程难点，助力学风建设行稳致远。</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赛教融合双向促进，精准发力全面育人。</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依托学科基础实验平台、专业基础与专业实验平台、创新研究实验平台，为每个有科研、考研、创新创业意向的同学配备导师，鼓励学生参与教师研究项目，以激发学生专业学习的兴趣，提升学生的专业素养。组织开展科研训练与素质拓展大赛、生物实验技能操作大赛、英语风采大赛；扩大竞赛影响范围，开展“互联网+”“挑战杯”“全国生命科学竞赛”等优秀获奖项目经验交流分享会，激发更多学生投入竞赛项目的热情以进一步培养学生竞赛意识与创新意识，在共建共享中提升学院竞赛水平，以拼搏实干的精神润色学院学风建设。</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w:t>
      </w:r>
      <w:r>
        <w:rPr>
          <w:rFonts w:hint="eastAsia" w:ascii="仿宋" w:hAnsi="仿宋" w:eastAsia="仿宋" w:cs="Times New Roman"/>
          <w:sz w:val="32"/>
          <w:szCs w:val="32"/>
        </w:rPr>
        <w:t>考研导向坚定不移，内外联动多力并举。</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分层分类动员助推学生升学，引导学生早立志，早规划，早行动。在大一大二年级学生中，通过新生入学教育、专业成才教育等鼓励学生树立考研思想；为高年级有志升学的同学安排专业考研指导老师强化指导，邀请考研成功的学长参加经验交流会“现身说法</w:t>
      </w:r>
      <w:r>
        <w:rPr>
          <w:rFonts w:ascii="仿宋" w:hAnsi="仿宋" w:eastAsia="仿宋" w:cs="Times New Roman"/>
          <w:sz w:val="32"/>
          <w:szCs w:val="32"/>
        </w:rPr>
        <w:t>”</w:t>
      </w:r>
      <w:r>
        <w:rPr>
          <w:rFonts w:hint="eastAsia" w:ascii="仿宋" w:hAnsi="仿宋" w:eastAsia="仿宋" w:cs="Times New Roman"/>
          <w:sz w:val="32"/>
          <w:szCs w:val="32"/>
        </w:rPr>
        <w:t>，举办考研慰问座谈会，考研冲刺动员会等，帮助更多的学生解答考研困惑、增强考研信心；为考研学生提供复试模拟、面试指导等，提高复试通过率；举办考研工作总结及表彰大会，激发师生考研动力，助推学院考研工作迈上崭新台阶。</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6.针对不同年级学生的特点，开展特色学风建设品牌项目活动。</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ascii="仿宋" w:hAnsi="仿宋" w:eastAsia="仿宋" w:cs="Times New Roman"/>
          <w:sz w:val="32"/>
          <w:szCs w:val="32"/>
        </w:rPr>
      </w:pPr>
      <w:r>
        <w:rPr>
          <w:rFonts w:hint="eastAsia" w:ascii="仿宋" w:hAnsi="仿宋" w:eastAsia="仿宋" w:cs="Times New Roman"/>
          <w:sz w:val="32"/>
          <w:szCs w:val="32"/>
        </w:rPr>
        <w:t>从服务学生生涯发展出发，构建知识学习和能力提升的双螺旋模式，不断完善学院学风建设体系——“七巧板”特色学风创建行动计划，即7个板块、14项行动计划。针对不同年级学生的特点，开展特色学风建设品牌项目。大一年级围绕学习适应，开展冬耕计划、四级通关计划、班级合作互助计划等。大二年级开展英语六级攀登计划，大三年级开展师范生教资攻关项目、考研专业理论素养</w:t>
      </w:r>
      <w:bookmarkStart w:id="0" w:name="_GoBack"/>
      <w:bookmarkEnd w:id="0"/>
      <w:r>
        <w:rPr>
          <w:rFonts w:hint="eastAsia" w:ascii="仿宋" w:hAnsi="仿宋" w:eastAsia="仿宋" w:cs="Times New Roman"/>
          <w:sz w:val="32"/>
          <w:szCs w:val="32"/>
        </w:rPr>
        <w:t>提升项目，大四年级全过程关心和跟进考研学生需求，包括报考院校和专业选择以及初试、复试调剂工作。</w:t>
      </w:r>
    </w:p>
    <w:p>
      <w:pPr>
        <w:ind w:right="161"/>
        <w:jc w:val="both"/>
        <w:rPr>
          <w:rFonts w:ascii="仿宋" w:hAnsi="仿宋" w:eastAsia="仿宋" w:cs="宋体"/>
          <w:kern w:val="0"/>
          <w:sz w:val="28"/>
          <w:szCs w:val="28"/>
        </w:rPr>
      </w:pPr>
    </w:p>
    <w:sectPr>
      <w:footerReference r:id="rId3" w:type="default"/>
      <w:pgSz w:w="11906" w:h="16838"/>
      <w:pgMar w:top="873"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roma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50110"/>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0067670E"/>
    <w:rsid w:val="000063D8"/>
    <w:rsid w:val="00044B95"/>
    <w:rsid w:val="000E734F"/>
    <w:rsid w:val="00171761"/>
    <w:rsid w:val="00211257"/>
    <w:rsid w:val="002D79FF"/>
    <w:rsid w:val="002F70A6"/>
    <w:rsid w:val="00417CAD"/>
    <w:rsid w:val="0046487F"/>
    <w:rsid w:val="004720A3"/>
    <w:rsid w:val="0052256A"/>
    <w:rsid w:val="005F361C"/>
    <w:rsid w:val="0066213A"/>
    <w:rsid w:val="0067670E"/>
    <w:rsid w:val="006C0367"/>
    <w:rsid w:val="006D3359"/>
    <w:rsid w:val="00732185"/>
    <w:rsid w:val="00755857"/>
    <w:rsid w:val="007A7A32"/>
    <w:rsid w:val="007D23D9"/>
    <w:rsid w:val="007F75A0"/>
    <w:rsid w:val="008D1C8B"/>
    <w:rsid w:val="009B6E18"/>
    <w:rsid w:val="00A44EDB"/>
    <w:rsid w:val="00A85620"/>
    <w:rsid w:val="00AD40CE"/>
    <w:rsid w:val="00C11240"/>
    <w:rsid w:val="00D6293C"/>
    <w:rsid w:val="00D90798"/>
    <w:rsid w:val="00E261A7"/>
    <w:rsid w:val="00F13368"/>
    <w:rsid w:val="00F229BC"/>
    <w:rsid w:val="00F923F9"/>
    <w:rsid w:val="00FE1781"/>
    <w:rsid w:val="04BF5DB3"/>
    <w:rsid w:val="083F2637"/>
    <w:rsid w:val="10AB2390"/>
    <w:rsid w:val="1B0C42DA"/>
    <w:rsid w:val="237621BD"/>
    <w:rsid w:val="23A83C63"/>
    <w:rsid w:val="297B7724"/>
    <w:rsid w:val="2BFB4B4C"/>
    <w:rsid w:val="391148FB"/>
    <w:rsid w:val="45800BDC"/>
    <w:rsid w:val="49321003"/>
    <w:rsid w:val="57924769"/>
    <w:rsid w:val="62AC344B"/>
    <w:rsid w:val="696848C8"/>
    <w:rsid w:val="74F6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6"/>
    <w:autoRedefine/>
    <w:semiHidden/>
    <w:unhideWhenUsed/>
    <w:qFormat/>
    <w:uiPriority w:val="99"/>
    <w:pPr>
      <w:ind w:left="100" w:leftChars="2500"/>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character" w:customStyle="1" w:styleId="13">
    <w:name w:val="标题 1 Char"/>
    <w:basedOn w:val="9"/>
    <w:link w:val="2"/>
    <w:autoRedefine/>
    <w:qFormat/>
    <w:uiPriority w:val="9"/>
    <w:rPr>
      <w:rFonts w:ascii="宋体" w:hAnsi="宋体" w:eastAsia="宋体" w:cs="宋体"/>
      <w:b/>
      <w:bCs/>
      <w:kern w:val="36"/>
      <w:sz w:val="48"/>
      <w:szCs w:val="48"/>
    </w:rPr>
  </w:style>
  <w:style w:type="paragraph" w:customStyle="1" w:styleId="14">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 w:type="character" w:customStyle="1" w:styleId="15">
    <w:name w:val="批注框文本 Char"/>
    <w:basedOn w:val="9"/>
    <w:link w:val="4"/>
    <w:autoRedefine/>
    <w:semiHidden/>
    <w:qFormat/>
    <w:uiPriority w:val="99"/>
    <w:rPr>
      <w:sz w:val="18"/>
      <w:szCs w:val="18"/>
    </w:rPr>
  </w:style>
  <w:style w:type="character" w:customStyle="1" w:styleId="16">
    <w:name w:val="日期 Char"/>
    <w:basedOn w:val="9"/>
    <w:link w:val="3"/>
    <w:autoRedefine/>
    <w:semiHidden/>
    <w:qFormat/>
    <w:uiPriority w:val="99"/>
  </w:style>
  <w:style w:type="paragraph" w:customStyle="1" w:styleId="17">
    <w:name w:val="Default"/>
    <w:autoRedefine/>
    <w:qFormat/>
    <w:uiPriority w:val="0"/>
    <w:pPr>
      <w:widowControl w:val="0"/>
      <w:autoSpaceDE w:val="0"/>
      <w:autoSpaceDN w:val="0"/>
      <w:adjustRightInd w:val="0"/>
    </w:pPr>
    <w:rPr>
      <w:rFonts w:ascii="仿宋" w:eastAsia="仿宋" w:cs="仿宋"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CC442-3E91-444D-A017-33BAFC77DB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497</Words>
  <Characters>2837</Characters>
  <Lines>23</Lines>
  <Paragraphs>6</Paragraphs>
  <TotalTime>0</TotalTime>
  <ScaleCrop>false</ScaleCrop>
  <LinksUpToDate>false</LinksUpToDate>
  <CharactersWithSpaces>3328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2024-03-08T08:23:00Z</dcterms:created>
  <dc:creator>lenovo-zhang</dc:creator>
  <cp:lastModifiedBy>geyun</cp:lastModifiedBy>
  <cp:lastPrinted>2023-09-11T09:01:00Z</cp:lastPrinted>
  <dcterms:modified xsi:type="dcterms:W3CDTF">2024-03-10T08:08:07Z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9FB10CA9AA6D4FBEA4FE7291850136E2_12</vt:lpwstr>
  </property>
</Properties>
</file>